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D369" w14:textId="58A1BDAD" w:rsidR="00E71F00" w:rsidRPr="0058557F" w:rsidRDefault="00A75C4A" w:rsidP="000622B0">
      <w:pPr>
        <w:jc w:val="center"/>
        <w:rPr>
          <w:rFonts w:cs="Arial"/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178EE3A0">
            <wp:simplePos x="0" y="0"/>
            <wp:positionH relativeFrom="page">
              <wp:posOffset>4819650</wp:posOffset>
            </wp:positionH>
            <wp:positionV relativeFrom="page">
              <wp:posOffset>422910</wp:posOffset>
            </wp:positionV>
            <wp:extent cx="2040255" cy="4171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58557F">
        <w:rPr>
          <w:rFonts w:cs="Arial"/>
          <w:b/>
          <w:sz w:val="36"/>
          <w:szCs w:val="36"/>
        </w:rPr>
        <w:t>Tender Notice</w:t>
      </w:r>
    </w:p>
    <w:p w14:paraId="3E280F34" w14:textId="0F3C8E26" w:rsidR="005970C8" w:rsidRPr="00460276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2"/>
          <w:szCs w:val="24"/>
          <w:lang w:eastAsia="en-GB"/>
        </w:rPr>
      </w:pPr>
      <w:r w:rsidRPr="00460276">
        <w:rPr>
          <w:rFonts w:cs="Arial"/>
          <w:iCs/>
          <w:kern w:val="0"/>
          <w:sz w:val="22"/>
          <w:szCs w:val="24"/>
          <w:lang w:eastAsia="en-GB"/>
        </w:rPr>
        <w:t xml:space="preserve">Save the Children believes every child deserves a future. </w:t>
      </w:r>
      <w:r w:rsidR="00A019C1" w:rsidRPr="00460276">
        <w:rPr>
          <w:rFonts w:cs="Arial"/>
          <w:iCs/>
          <w:kern w:val="0"/>
          <w:sz w:val="22"/>
          <w:szCs w:val="24"/>
          <w:lang w:eastAsia="en-GB"/>
        </w:rPr>
        <w:t>A</w:t>
      </w:r>
      <w:r w:rsidRPr="00460276">
        <w:rPr>
          <w:rFonts w:cs="Arial"/>
          <w:iCs/>
          <w:kern w:val="0"/>
          <w:sz w:val="22"/>
          <w:szCs w:val="24"/>
          <w:lang w:eastAsia="en-GB"/>
        </w:rPr>
        <w:t>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460276">
        <w:rPr>
          <w:rFonts w:cs="Arial"/>
          <w:iCs/>
          <w:kern w:val="0"/>
          <w:sz w:val="22"/>
          <w:szCs w:val="24"/>
          <w:lang w:eastAsia="en-GB"/>
        </w:rPr>
        <w:t>.</w:t>
      </w:r>
      <w:bookmarkStart w:id="0" w:name="_GoBack"/>
      <w:bookmarkEnd w:id="0"/>
    </w:p>
    <w:p w14:paraId="21DC0EBE" w14:textId="77777777" w:rsidR="00495DC8" w:rsidRPr="00460276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2"/>
          <w:szCs w:val="24"/>
          <w:lang w:eastAsia="en-GB"/>
        </w:rPr>
      </w:pPr>
    </w:p>
    <w:p w14:paraId="01E8595B" w14:textId="331AF7D4" w:rsidR="000622B0" w:rsidRPr="00460276" w:rsidRDefault="00704239" w:rsidP="00A97A58">
      <w:pPr>
        <w:spacing w:after="0"/>
        <w:rPr>
          <w:rFonts w:cs="Arial"/>
          <w:sz w:val="22"/>
          <w:szCs w:val="24"/>
        </w:rPr>
      </w:pPr>
      <w:r w:rsidRPr="00460276">
        <w:rPr>
          <w:rFonts w:cs="Arial"/>
          <w:sz w:val="22"/>
          <w:szCs w:val="24"/>
        </w:rPr>
        <w:t>Save the Children International</w:t>
      </w:r>
      <w:r w:rsidR="00DF4655" w:rsidRPr="00460276">
        <w:rPr>
          <w:rFonts w:cs="Arial"/>
          <w:i/>
          <w:sz w:val="22"/>
          <w:szCs w:val="24"/>
        </w:rPr>
        <w:t xml:space="preserve"> </w:t>
      </w:r>
      <w:r w:rsidR="001F7847" w:rsidRPr="00460276">
        <w:rPr>
          <w:rFonts w:cs="Arial"/>
          <w:sz w:val="22"/>
          <w:szCs w:val="24"/>
        </w:rPr>
        <w:t>Ethiopia</w:t>
      </w:r>
      <w:r w:rsidRPr="00460276">
        <w:rPr>
          <w:rFonts w:cs="Arial"/>
          <w:sz w:val="22"/>
          <w:szCs w:val="24"/>
        </w:rPr>
        <w:t xml:space="preserve"> country office</w:t>
      </w:r>
      <w:r w:rsidR="001F7847" w:rsidRPr="00460276">
        <w:rPr>
          <w:rFonts w:cs="Arial"/>
          <w:sz w:val="22"/>
          <w:szCs w:val="24"/>
        </w:rPr>
        <w:t xml:space="preserve"> </w:t>
      </w:r>
      <w:r w:rsidR="00374C81" w:rsidRPr="00460276">
        <w:rPr>
          <w:rFonts w:cs="Arial"/>
          <w:sz w:val="22"/>
          <w:szCs w:val="24"/>
        </w:rPr>
        <w:t xml:space="preserve">is </w:t>
      </w:r>
      <w:r w:rsidR="00A97A58" w:rsidRPr="00460276">
        <w:rPr>
          <w:rFonts w:cs="Arial"/>
          <w:sz w:val="22"/>
          <w:szCs w:val="24"/>
        </w:rPr>
        <w:t>intended to establish framework agreements (1 year) for the provision of</w:t>
      </w:r>
      <w:r w:rsidR="00A97A58" w:rsidRPr="00460276">
        <w:rPr>
          <w:rFonts w:cs="Arial"/>
          <w:sz w:val="22"/>
          <w:szCs w:val="24"/>
          <w:lang w:val="en-US"/>
        </w:rPr>
        <w:t xml:space="preserve"> cash –based payment on behalf of SCI Ethiopia </w:t>
      </w:r>
      <w:r w:rsidR="00A97A58" w:rsidRPr="00460276">
        <w:rPr>
          <w:rFonts w:cs="Arial"/>
          <w:color w:val="333333"/>
          <w:sz w:val="22"/>
          <w:szCs w:val="24"/>
        </w:rPr>
        <w:t>which will physically operate the cash transfers to the households selected by Save the Children</w:t>
      </w:r>
      <w:r w:rsidR="00A97A58" w:rsidRPr="00460276">
        <w:rPr>
          <w:rFonts w:cs="Arial"/>
          <w:color w:val="333333"/>
          <w:sz w:val="22"/>
          <w:szCs w:val="24"/>
          <w:lang w:val="en-US"/>
        </w:rPr>
        <w:t xml:space="preserve"> in all regions.</w:t>
      </w:r>
      <w:r w:rsidR="00A97A58" w:rsidRPr="00460276">
        <w:rPr>
          <w:rFonts w:cs="Arial"/>
          <w:sz w:val="22"/>
          <w:szCs w:val="24"/>
          <w:lang w:val="en-US"/>
        </w:rPr>
        <w:t xml:space="preserve">  Thus, SCI </w:t>
      </w:r>
      <w:r w:rsidR="00A97A58" w:rsidRPr="00460276">
        <w:rPr>
          <w:rFonts w:cs="Arial"/>
          <w:sz w:val="22"/>
          <w:szCs w:val="24"/>
        </w:rPr>
        <w:t xml:space="preserve">hereby invites potential </w:t>
      </w:r>
      <w:r w:rsidR="00A97A58" w:rsidRPr="00460276">
        <w:rPr>
          <w:rFonts w:cs="Arial"/>
          <w:sz w:val="22"/>
          <w:szCs w:val="24"/>
          <w:lang w:val="en-US"/>
        </w:rPr>
        <w:t>Financial services providers (Banks, Micro-Finance, MBIRR and other technological cash distributors)</w:t>
      </w:r>
      <w:r w:rsidR="00A97A58" w:rsidRPr="00460276">
        <w:rPr>
          <w:rFonts w:cs="Arial"/>
          <w:sz w:val="22"/>
          <w:szCs w:val="24"/>
        </w:rPr>
        <w:t xml:space="preserve"> to </w:t>
      </w:r>
      <w:r w:rsidR="00413193" w:rsidRPr="00460276">
        <w:rPr>
          <w:rFonts w:cs="Arial"/>
          <w:sz w:val="22"/>
          <w:szCs w:val="24"/>
        </w:rPr>
        <w:t>submit proposal</w:t>
      </w:r>
      <w:r w:rsidR="00A97A58" w:rsidRPr="00460276">
        <w:rPr>
          <w:rFonts w:cs="Arial"/>
          <w:sz w:val="22"/>
          <w:szCs w:val="24"/>
        </w:rPr>
        <w:t xml:space="preserve"> in accordance to the Service</w:t>
      </w:r>
      <w:r w:rsidR="00A97A58" w:rsidRPr="00460276">
        <w:rPr>
          <w:rFonts w:cs="Arial"/>
          <w:sz w:val="22"/>
          <w:szCs w:val="24"/>
          <w:lang w:val="en-US"/>
        </w:rPr>
        <w:t xml:space="preserve"> Requirement</w:t>
      </w:r>
      <w:r w:rsidR="00A97A58" w:rsidRPr="00460276">
        <w:rPr>
          <w:rFonts w:cs="Arial"/>
          <w:sz w:val="22"/>
          <w:szCs w:val="24"/>
        </w:rPr>
        <w:t xml:space="preserve"> Details, Instruction to Bidders, and General Terms and Conditions of</w:t>
      </w:r>
      <w:r w:rsidR="00A97A58" w:rsidRPr="00460276">
        <w:rPr>
          <w:rFonts w:cs="Arial"/>
          <w:sz w:val="22"/>
          <w:szCs w:val="24"/>
          <w:lang w:val="en-US"/>
        </w:rPr>
        <w:t xml:space="preserve"> services </w:t>
      </w:r>
      <w:r w:rsidR="00A97A58" w:rsidRPr="00460276">
        <w:rPr>
          <w:rFonts w:cs="Arial"/>
          <w:sz w:val="22"/>
          <w:szCs w:val="24"/>
        </w:rPr>
        <w:t xml:space="preserve">purchase as </w:t>
      </w:r>
      <w:r w:rsidR="00413193" w:rsidRPr="00460276">
        <w:rPr>
          <w:rFonts w:cs="Arial"/>
          <w:sz w:val="22"/>
          <w:szCs w:val="24"/>
        </w:rPr>
        <w:t>described in the ITT</w:t>
      </w:r>
      <w:r w:rsidR="00A97A58" w:rsidRPr="00460276">
        <w:rPr>
          <w:rFonts w:cs="Arial"/>
          <w:sz w:val="22"/>
          <w:szCs w:val="24"/>
        </w:rPr>
        <w:t xml:space="preserve">: </w:t>
      </w:r>
    </w:p>
    <w:p w14:paraId="2CA24267" w14:textId="77777777" w:rsidR="004E3F6A" w:rsidRPr="00460276" w:rsidRDefault="004E3F6A" w:rsidP="00A97A58">
      <w:pPr>
        <w:spacing w:after="0"/>
        <w:rPr>
          <w:rFonts w:cs="Arial"/>
          <w:sz w:val="22"/>
          <w:szCs w:val="24"/>
        </w:rPr>
      </w:pPr>
    </w:p>
    <w:p w14:paraId="0BFD51C9" w14:textId="7C382E5A" w:rsidR="00413193" w:rsidRPr="00460276" w:rsidRDefault="00413193" w:rsidP="00413193">
      <w:pPr>
        <w:rPr>
          <w:rFonts w:cs="Arial"/>
          <w:b/>
          <w:sz w:val="22"/>
          <w:szCs w:val="24"/>
        </w:rPr>
      </w:pPr>
      <w:r w:rsidRPr="00460276">
        <w:rPr>
          <w:rFonts w:cs="Arial"/>
          <w:b/>
          <w:sz w:val="22"/>
          <w:szCs w:val="24"/>
        </w:rPr>
        <w:t>Tenders submitted must be accompanied with:</w:t>
      </w:r>
    </w:p>
    <w:p w14:paraId="33075740" w14:textId="77777777" w:rsidR="00413193" w:rsidRPr="00460276" w:rsidRDefault="00413193" w:rsidP="00413193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cs="Arial"/>
          <w:sz w:val="22"/>
          <w:szCs w:val="24"/>
        </w:rPr>
      </w:pPr>
      <w:r w:rsidRPr="00460276">
        <w:rPr>
          <w:rFonts w:cs="Arial"/>
          <w:b/>
          <w:sz w:val="22"/>
          <w:szCs w:val="24"/>
        </w:rPr>
        <w:t>Eligibility Documents</w:t>
      </w:r>
      <w:r w:rsidRPr="00460276">
        <w:rPr>
          <w:rFonts w:cs="Arial"/>
          <w:sz w:val="22"/>
          <w:szCs w:val="24"/>
        </w:rPr>
        <w:t xml:space="preserve"> – Valid Business License (E.C. 2012), VAT &amp;, Tax Payers’ Certificate</w:t>
      </w:r>
    </w:p>
    <w:p w14:paraId="285B29CD" w14:textId="490C4552" w:rsidR="00413193" w:rsidRPr="00460276" w:rsidRDefault="00413193" w:rsidP="00413193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cs="Arial"/>
          <w:b/>
          <w:sz w:val="22"/>
          <w:szCs w:val="24"/>
        </w:rPr>
      </w:pPr>
      <w:r w:rsidRPr="00460276">
        <w:rPr>
          <w:rFonts w:cs="Arial"/>
          <w:b/>
          <w:sz w:val="22"/>
          <w:szCs w:val="24"/>
        </w:rPr>
        <w:t xml:space="preserve">Company profile </w:t>
      </w:r>
      <w:r w:rsidRPr="00460276">
        <w:rPr>
          <w:rFonts w:cs="Arial"/>
          <w:sz w:val="22"/>
          <w:szCs w:val="24"/>
        </w:rPr>
        <w:t>listing the bidders’ address, branches offices, structure, resources…etc.</w:t>
      </w:r>
    </w:p>
    <w:p w14:paraId="4C5F6B3F" w14:textId="0ACC5988" w:rsidR="00413193" w:rsidRPr="00460276" w:rsidRDefault="00413193" w:rsidP="00413193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cs="Arial"/>
          <w:sz w:val="22"/>
          <w:szCs w:val="24"/>
        </w:rPr>
      </w:pPr>
      <w:r w:rsidRPr="00460276">
        <w:rPr>
          <w:rFonts w:cs="Arial"/>
          <w:b/>
          <w:sz w:val="22"/>
          <w:szCs w:val="24"/>
        </w:rPr>
        <w:t>Evidence of past satisfactory performance</w:t>
      </w:r>
      <w:r w:rsidRPr="00460276">
        <w:rPr>
          <w:rFonts w:cs="Arial"/>
          <w:sz w:val="22"/>
          <w:szCs w:val="24"/>
        </w:rPr>
        <w:t xml:space="preserve"> on provision of similar services</w:t>
      </w:r>
    </w:p>
    <w:p w14:paraId="03A23E8F" w14:textId="77777777" w:rsidR="00413193" w:rsidRPr="00460276" w:rsidRDefault="00413193" w:rsidP="00413193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cs="Arial"/>
          <w:sz w:val="22"/>
          <w:szCs w:val="24"/>
        </w:rPr>
      </w:pPr>
      <w:r w:rsidRPr="00460276">
        <w:rPr>
          <w:rFonts w:cs="Arial"/>
          <w:sz w:val="22"/>
          <w:szCs w:val="24"/>
        </w:rPr>
        <w:t>Declaration of acceptance to SCI’s statement of requirement, terms/conditions, and policies</w:t>
      </w:r>
    </w:p>
    <w:p w14:paraId="03B5E45B" w14:textId="04E19DB9" w:rsidR="00B87896" w:rsidRPr="00460276" w:rsidRDefault="00B87896" w:rsidP="004C781F">
      <w:pPr>
        <w:pStyle w:val="ListNumber"/>
        <w:ind w:left="0" w:firstLine="0"/>
        <w:rPr>
          <w:rFonts w:cs="Arial"/>
          <w:sz w:val="22"/>
          <w:szCs w:val="24"/>
        </w:rPr>
      </w:pPr>
      <w:r w:rsidRPr="00460276">
        <w:rPr>
          <w:rFonts w:cs="Arial"/>
          <w:sz w:val="22"/>
          <w:szCs w:val="24"/>
        </w:rPr>
        <w:t xml:space="preserve">Detailed technical specifications are included within the </w:t>
      </w:r>
      <w:r w:rsidR="005B4EBB" w:rsidRPr="00460276">
        <w:rPr>
          <w:rFonts w:cs="Arial"/>
          <w:sz w:val="22"/>
          <w:szCs w:val="24"/>
        </w:rPr>
        <w:t>ITT Bidders response documents</w:t>
      </w:r>
      <w:r w:rsidRPr="00460276">
        <w:rPr>
          <w:rFonts w:cs="Arial"/>
          <w:sz w:val="22"/>
          <w:szCs w:val="24"/>
        </w:rPr>
        <w:t xml:space="preserve">. </w:t>
      </w:r>
    </w:p>
    <w:p w14:paraId="0B1F5001" w14:textId="13F013E7" w:rsidR="00750B52" w:rsidRPr="00460276" w:rsidRDefault="00C27A03" w:rsidP="003F3876">
      <w:pPr>
        <w:rPr>
          <w:rFonts w:cs="Arial"/>
          <w:sz w:val="22"/>
          <w:szCs w:val="24"/>
        </w:rPr>
      </w:pPr>
      <w:r w:rsidRPr="00460276">
        <w:rPr>
          <w:rFonts w:cs="Arial"/>
          <w:sz w:val="22"/>
          <w:szCs w:val="24"/>
        </w:rPr>
        <w:t xml:space="preserve">If you are </w:t>
      </w:r>
      <w:r w:rsidR="003F3876" w:rsidRPr="00460276">
        <w:rPr>
          <w:rFonts w:cs="Arial"/>
          <w:sz w:val="22"/>
          <w:szCs w:val="24"/>
        </w:rPr>
        <w:t xml:space="preserve">interested in submitting a bid, please </w:t>
      </w:r>
      <w:r w:rsidR="00101B73" w:rsidRPr="00460276">
        <w:rPr>
          <w:rFonts w:cs="Arial"/>
          <w:sz w:val="22"/>
          <w:szCs w:val="24"/>
        </w:rPr>
        <w:t>find the Invitat</w:t>
      </w:r>
      <w:r w:rsidR="00A019C1" w:rsidRPr="00460276">
        <w:rPr>
          <w:rFonts w:cs="Arial"/>
          <w:sz w:val="22"/>
          <w:szCs w:val="24"/>
        </w:rPr>
        <w:t>ion to Tender documents included on this webpage</w:t>
      </w:r>
      <w:r w:rsidR="004E3F6A" w:rsidRPr="00460276">
        <w:rPr>
          <w:rFonts w:cs="Arial"/>
          <w:sz w:val="22"/>
          <w:szCs w:val="24"/>
        </w:rPr>
        <w:t xml:space="preserve"> </w:t>
      </w:r>
      <w:r w:rsidR="00A019C1" w:rsidRPr="00460276">
        <w:rPr>
          <w:rFonts w:cs="Arial"/>
          <w:sz w:val="22"/>
          <w:szCs w:val="24"/>
        </w:rPr>
        <w:t>which you can download</w:t>
      </w:r>
      <w:r w:rsidR="00101B73" w:rsidRPr="00460276">
        <w:rPr>
          <w:rFonts w:cs="Arial"/>
          <w:sz w:val="22"/>
          <w:szCs w:val="24"/>
        </w:rPr>
        <w:t>.</w:t>
      </w:r>
      <w:r w:rsidR="00380741" w:rsidRPr="00460276">
        <w:rPr>
          <w:rFonts w:cs="Arial"/>
          <w:sz w:val="22"/>
          <w:szCs w:val="24"/>
        </w:rPr>
        <w:t xml:space="preserve"> </w:t>
      </w:r>
      <w:r w:rsidR="00A019C1" w:rsidRPr="00460276">
        <w:rPr>
          <w:rFonts w:cs="Arial"/>
          <w:sz w:val="22"/>
          <w:szCs w:val="24"/>
        </w:rPr>
        <w:t>If you would like to collect hard copies</w:t>
      </w:r>
      <w:r w:rsidR="00C85D3F" w:rsidRPr="00460276">
        <w:rPr>
          <w:rFonts w:cs="Arial"/>
          <w:sz w:val="22"/>
          <w:szCs w:val="24"/>
        </w:rPr>
        <w:t xml:space="preserve"> </w:t>
      </w:r>
      <w:r w:rsidR="00A019C1" w:rsidRPr="00460276">
        <w:rPr>
          <w:rFonts w:cs="Arial"/>
          <w:sz w:val="22"/>
          <w:szCs w:val="24"/>
        </w:rPr>
        <w:t>i</w:t>
      </w:r>
      <w:r w:rsidR="00BD5BD6" w:rsidRPr="00460276">
        <w:rPr>
          <w:rFonts w:cs="Arial"/>
          <w:sz w:val="22"/>
          <w:szCs w:val="24"/>
        </w:rPr>
        <w:t xml:space="preserve">t is recommended to </w:t>
      </w:r>
      <w:r w:rsidR="007C0CD6" w:rsidRPr="00460276">
        <w:rPr>
          <w:rFonts w:cs="Arial"/>
          <w:sz w:val="22"/>
          <w:szCs w:val="24"/>
        </w:rPr>
        <w:t xml:space="preserve">collect the tender </w:t>
      </w:r>
      <w:r w:rsidR="00750B52" w:rsidRPr="00460276">
        <w:rPr>
          <w:rFonts w:cs="Arial"/>
          <w:sz w:val="22"/>
          <w:szCs w:val="24"/>
        </w:rPr>
        <w:t xml:space="preserve">documents from </w:t>
      </w:r>
      <w:r w:rsidR="00750B52" w:rsidRPr="00460276">
        <w:rPr>
          <w:rFonts w:cs="Arial"/>
          <w:b/>
          <w:sz w:val="22"/>
          <w:szCs w:val="24"/>
        </w:rPr>
        <w:t>Monday to Friday,</w:t>
      </w:r>
      <w:r w:rsidR="00750B52" w:rsidRPr="00460276">
        <w:rPr>
          <w:rFonts w:cs="Arial"/>
          <w:sz w:val="22"/>
          <w:szCs w:val="24"/>
        </w:rPr>
        <w:t xml:space="preserve"> during working hours</w:t>
      </w:r>
      <w:r w:rsidR="00A019C1" w:rsidRPr="00460276">
        <w:rPr>
          <w:rFonts w:cs="Arial"/>
          <w:sz w:val="22"/>
          <w:szCs w:val="24"/>
        </w:rPr>
        <w:t xml:space="preserve"> (EAT)</w:t>
      </w:r>
      <w:r w:rsidR="007C0CD6" w:rsidRPr="00460276">
        <w:rPr>
          <w:rFonts w:cs="Arial"/>
          <w:sz w:val="22"/>
          <w:szCs w:val="24"/>
        </w:rPr>
        <w:t xml:space="preserve"> </w:t>
      </w:r>
      <w:r w:rsidR="00750B52" w:rsidRPr="00460276">
        <w:rPr>
          <w:rFonts w:cs="Arial"/>
          <w:sz w:val="22"/>
          <w:szCs w:val="24"/>
        </w:rPr>
        <w:t>as soon as poss</w:t>
      </w:r>
      <w:r w:rsidR="00A019C1" w:rsidRPr="00460276">
        <w:rPr>
          <w:rFonts w:cs="Arial"/>
          <w:sz w:val="22"/>
          <w:szCs w:val="24"/>
        </w:rPr>
        <w:t>ible from the following address:</w:t>
      </w:r>
    </w:p>
    <w:p w14:paraId="1A55AF8A" w14:textId="728D955B" w:rsidR="00750B52" w:rsidRPr="00460276" w:rsidRDefault="00750B52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>Save the Children Ethiopia Office</w:t>
      </w:r>
    </w:p>
    <w:p w14:paraId="643C0B89" w14:textId="77777777" w:rsidR="00750B52" w:rsidRPr="00460276" w:rsidRDefault="00750B52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>At the Main Security Gate</w:t>
      </w:r>
    </w:p>
    <w:p w14:paraId="6E936EC4" w14:textId="77777777" w:rsidR="00750B52" w:rsidRPr="00460276" w:rsidRDefault="00750B52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 xml:space="preserve">Dire Complex, Behind </w:t>
      </w:r>
      <w:proofErr w:type="spellStart"/>
      <w:r w:rsidRPr="00460276">
        <w:rPr>
          <w:rFonts w:ascii="Arial" w:hAnsi="Arial" w:cs="Arial"/>
          <w:b/>
          <w:kern w:val="16"/>
          <w:sz w:val="22"/>
          <w:lang w:val="en-GB" w:eastAsia="zh-CN"/>
        </w:rPr>
        <w:t>Bisrate</w:t>
      </w:r>
      <w:proofErr w:type="spellEnd"/>
      <w:r w:rsidRPr="00460276">
        <w:rPr>
          <w:rFonts w:ascii="Arial" w:hAnsi="Arial" w:cs="Arial"/>
          <w:b/>
          <w:kern w:val="16"/>
          <w:sz w:val="22"/>
          <w:lang w:val="en-GB" w:eastAsia="zh-CN"/>
        </w:rPr>
        <w:t xml:space="preserve"> Gabriel Church</w:t>
      </w:r>
    </w:p>
    <w:p w14:paraId="290D59E7" w14:textId="0AB6285C" w:rsidR="00750B52" w:rsidRPr="00460276" w:rsidRDefault="00750B52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>P.O Box 387</w:t>
      </w:r>
    </w:p>
    <w:p w14:paraId="09370ABF" w14:textId="52E673E8" w:rsidR="008D23B1" w:rsidRPr="00460276" w:rsidRDefault="008D23B1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>Addis Ababa</w:t>
      </w:r>
    </w:p>
    <w:p w14:paraId="003EC0C6" w14:textId="6DF97766" w:rsidR="00750B52" w:rsidRPr="00460276" w:rsidRDefault="00750B52" w:rsidP="008D23B1">
      <w:pPr>
        <w:pStyle w:val="BodyText"/>
        <w:spacing w:after="0"/>
        <w:rPr>
          <w:rFonts w:ascii="Arial" w:hAnsi="Arial" w:cs="Arial"/>
          <w:b/>
          <w:kern w:val="16"/>
          <w:sz w:val="22"/>
          <w:lang w:val="en-GB" w:eastAsia="zh-CN"/>
        </w:rPr>
      </w:pPr>
      <w:r w:rsidRPr="00460276">
        <w:rPr>
          <w:rFonts w:ascii="Arial" w:hAnsi="Arial" w:cs="Arial"/>
          <w:b/>
          <w:kern w:val="16"/>
          <w:sz w:val="22"/>
          <w:lang w:val="en-GB" w:eastAsia="zh-CN"/>
        </w:rPr>
        <w:t xml:space="preserve">Tel 011 3 72 84 55-61 </w:t>
      </w:r>
    </w:p>
    <w:p w14:paraId="7497CB71" w14:textId="6BD31E56" w:rsidR="00626E14" w:rsidRPr="00460276" w:rsidRDefault="003F3876" w:rsidP="003F3876">
      <w:pPr>
        <w:rPr>
          <w:rFonts w:cs="Arial"/>
          <w:i/>
          <w:color w:val="FF0000"/>
          <w:sz w:val="22"/>
          <w:szCs w:val="24"/>
        </w:rPr>
      </w:pPr>
      <w:r w:rsidRPr="00460276">
        <w:rPr>
          <w:rFonts w:cs="Arial"/>
          <w:sz w:val="22"/>
          <w:szCs w:val="24"/>
        </w:rPr>
        <w:t xml:space="preserve">Completed tender </w:t>
      </w:r>
      <w:r w:rsidR="00380741" w:rsidRPr="00460276">
        <w:rPr>
          <w:rFonts w:cs="Arial"/>
          <w:sz w:val="22"/>
          <w:szCs w:val="24"/>
        </w:rPr>
        <w:t>documents are</w:t>
      </w:r>
      <w:r w:rsidRPr="00460276">
        <w:rPr>
          <w:rFonts w:cs="Arial"/>
          <w:sz w:val="22"/>
          <w:szCs w:val="24"/>
        </w:rPr>
        <w:t xml:space="preserve"> due to be </w:t>
      </w:r>
      <w:r w:rsidR="00D11213" w:rsidRPr="00460276">
        <w:rPr>
          <w:rFonts w:cs="Arial"/>
          <w:sz w:val="22"/>
          <w:szCs w:val="24"/>
        </w:rPr>
        <w:t xml:space="preserve">submitted </w:t>
      </w:r>
      <w:r w:rsidRPr="00460276">
        <w:rPr>
          <w:rFonts w:cs="Arial"/>
          <w:sz w:val="22"/>
          <w:szCs w:val="24"/>
        </w:rPr>
        <w:t xml:space="preserve">by </w:t>
      </w:r>
      <w:r w:rsidR="004E3F6A" w:rsidRPr="00460276">
        <w:rPr>
          <w:rFonts w:cs="Arial"/>
          <w:sz w:val="22"/>
          <w:szCs w:val="24"/>
        </w:rPr>
        <w:t>23</w:t>
      </w:r>
      <w:r w:rsidR="004E3F6A" w:rsidRPr="00460276">
        <w:rPr>
          <w:rFonts w:cs="Arial"/>
          <w:sz w:val="22"/>
          <w:szCs w:val="24"/>
          <w:vertAlign w:val="superscript"/>
        </w:rPr>
        <w:t>rd</w:t>
      </w:r>
      <w:r w:rsidR="004E3F6A" w:rsidRPr="00460276">
        <w:rPr>
          <w:rFonts w:cs="Arial"/>
          <w:sz w:val="22"/>
          <w:szCs w:val="24"/>
        </w:rPr>
        <w:t xml:space="preserve">, of </w:t>
      </w:r>
      <w:r w:rsidR="00C85D3F" w:rsidRPr="00460276">
        <w:rPr>
          <w:rFonts w:cs="Arial"/>
          <w:sz w:val="22"/>
          <w:szCs w:val="24"/>
        </w:rPr>
        <w:t>April 2020</w:t>
      </w:r>
      <w:r w:rsidR="00750B52" w:rsidRPr="00460276">
        <w:rPr>
          <w:rFonts w:cs="Arial"/>
          <w:i/>
          <w:color w:val="FF0000"/>
          <w:sz w:val="22"/>
          <w:szCs w:val="24"/>
        </w:rPr>
        <w:t xml:space="preserve"> </w:t>
      </w:r>
      <w:r w:rsidR="00101B73" w:rsidRPr="00460276">
        <w:rPr>
          <w:rFonts w:cs="Arial"/>
          <w:i/>
          <w:color w:val="FF0000"/>
          <w:sz w:val="22"/>
          <w:szCs w:val="24"/>
        </w:rPr>
        <w:t xml:space="preserve">at </w:t>
      </w:r>
      <w:r w:rsidR="00750B52" w:rsidRPr="00460276">
        <w:rPr>
          <w:rFonts w:cs="Arial"/>
          <w:i/>
          <w:color w:val="FF0000"/>
          <w:sz w:val="22"/>
          <w:szCs w:val="24"/>
        </w:rPr>
        <w:t xml:space="preserve">2: 00 </w:t>
      </w:r>
      <w:r w:rsidR="00BE57AB" w:rsidRPr="00460276">
        <w:rPr>
          <w:rFonts w:cs="Arial"/>
          <w:i/>
          <w:color w:val="FF0000"/>
          <w:sz w:val="22"/>
          <w:szCs w:val="24"/>
        </w:rPr>
        <w:t>PM.</w:t>
      </w:r>
      <w:r w:rsidR="00626E14" w:rsidRPr="00460276">
        <w:rPr>
          <w:rFonts w:cs="Arial"/>
          <w:i/>
          <w:color w:val="FF0000"/>
          <w:sz w:val="22"/>
          <w:szCs w:val="24"/>
        </w:rPr>
        <w:t>to Save the children International in person or electronically on the below email address</w:t>
      </w:r>
      <w:r w:rsidR="008D23B1" w:rsidRPr="00460276">
        <w:rPr>
          <w:rFonts w:cs="Arial"/>
          <w:i/>
          <w:color w:val="FF0000"/>
          <w:sz w:val="22"/>
          <w:szCs w:val="24"/>
        </w:rPr>
        <w:t>:</w:t>
      </w:r>
    </w:p>
    <w:p w14:paraId="53EDEA05" w14:textId="48ABA550" w:rsidR="00952037" w:rsidRPr="00460276" w:rsidRDefault="00F802AE" w:rsidP="00C85D3F">
      <w:pPr>
        <w:rPr>
          <w:rFonts w:cs="Arial"/>
          <w:color w:val="000000"/>
          <w:szCs w:val="22"/>
        </w:rPr>
      </w:pPr>
      <w:hyperlink r:id="rId12" w:history="1">
        <w:r w:rsidR="00BA761B" w:rsidRPr="00460276">
          <w:rPr>
            <w:rStyle w:val="Hyperlink"/>
            <w:rFonts w:cs="Arial"/>
            <w:szCs w:val="22"/>
          </w:rPr>
          <w:t>Ethiopia.bidsubmission@savethechildren.org</w:t>
        </w:r>
      </w:hyperlink>
    </w:p>
    <w:p w14:paraId="7B881CE5" w14:textId="337D74A8" w:rsidR="00101B73" w:rsidRPr="00460276" w:rsidRDefault="00101B73" w:rsidP="003F3876">
      <w:pPr>
        <w:rPr>
          <w:sz w:val="18"/>
        </w:rPr>
      </w:pPr>
      <w:r w:rsidRPr="00460276">
        <w:rPr>
          <w:rFonts w:cs="Arial"/>
          <w:sz w:val="22"/>
          <w:szCs w:val="24"/>
        </w:rPr>
        <w:t>For any general queries, please contact</w:t>
      </w:r>
      <w:r w:rsidR="008D23B1" w:rsidRPr="00460276">
        <w:rPr>
          <w:rFonts w:cs="Arial"/>
          <w:sz w:val="22"/>
          <w:szCs w:val="24"/>
        </w:rPr>
        <w:t>:</w:t>
      </w:r>
    </w:p>
    <w:p w14:paraId="3D6B4EB0" w14:textId="02C2DAB7" w:rsidR="00750B52" w:rsidRPr="00460276" w:rsidRDefault="00F802AE" w:rsidP="003F3876">
      <w:pPr>
        <w:rPr>
          <w:rFonts w:cs="Arial"/>
          <w:i/>
          <w:color w:val="FF0000"/>
          <w:sz w:val="22"/>
          <w:szCs w:val="24"/>
        </w:rPr>
      </w:pPr>
      <w:hyperlink r:id="rId13" w:history="1">
        <w:r w:rsidR="008D23B1" w:rsidRPr="00460276">
          <w:rPr>
            <w:rStyle w:val="Hyperlink"/>
            <w:rFonts w:cs="Calibri"/>
            <w:color w:val="0563C1"/>
            <w:sz w:val="18"/>
            <w:lang w:val="en-US"/>
          </w:rPr>
          <w:t>Ethiopia.tenderadmin@savethechildren.org</w:t>
        </w:r>
      </w:hyperlink>
      <w:r w:rsidR="008D23B1" w:rsidRPr="00460276">
        <w:rPr>
          <w:rFonts w:cs="Calibri"/>
          <w:sz w:val="18"/>
          <w:lang w:val="en-US"/>
        </w:rPr>
        <w:t xml:space="preserve"> </w:t>
      </w:r>
    </w:p>
    <w:p w14:paraId="273C12F5" w14:textId="24DD41C8" w:rsidR="00C27A03" w:rsidRPr="00460276" w:rsidRDefault="008D23B1" w:rsidP="00DA7BAD">
      <w:pPr>
        <w:rPr>
          <w:rFonts w:cs="Arial"/>
          <w:sz w:val="22"/>
          <w:szCs w:val="24"/>
        </w:rPr>
      </w:pPr>
      <w:r w:rsidRPr="00460276">
        <w:rPr>
          <w:rFonts w:cs="Arial"/>
          <w:sz w:val="22"/>
          <w:szCs w:val="24"/>
        </w:rPr>
        <w:t>We look forward to receiving your bid.</w:t>
      </w:r>
    </w:p>
    <w:sectPr w:rsidR="00C27A03" w:rsidRPr="00460276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CD56" w14:textId="77777777" w:rsidR="00F802AE" w:rsidRDefault="00F802AE">
      <w:r>
        <w:separator/>
      </w:r>
    </w:p>
  </w:endnote>
  <w:endnote w:type="continuationSeparator" w:id="0">
    <w:p w14:paraId="6EE52D9D" w14:textId="77777777" w:rsidR="00F802AE" w:rsidRDefault="00F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EFCE" w14:textId="77777777" w:rsidR="00F802AE" w:rsidRDefault="00F802AE">
      <w:r>
        <w:separator/>
      </w:r>
    </w:p>
  </w:footnote>
  <w:footnote w:type="continuationSeparator" w:id="0">
    <w:p w14:paraId="270E0388" w14:textId="77777777" w:rsidR="00F802AE" w:rsidRDefault="00F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801"/>
    <w:multiLevelType w:val="hybridMultilevel"/>
    <w:tmpl w:val="7C6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6AF8"/>
    <w:multiLevelType w:val="hybridMultilevel"/>
    <w:tmpl w:val="994E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2AE4"/>
    <w:multiLevelType w:val="hybridMultilevel"/>
    <w:tmpl w:val="755E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5926"/>
    <w:multiLevelType w:val="hybridMultilevel"/>
    <w:tmpl w:val="83D89EC4"/>
    <w:lvl w:ilvl="0" w:tplc="90A45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46581"/>
    <w:rsid w:val="00053107"/>
    <w:rsid w:val="000622B0"/>
    <w:rsid w:val="000631BB"/>
    <w:rsid w:val="00064B20"/>
    <w:rsid w:val="000B1763"/>
    <w:rsid w:val="000B4627"/>
    <w:rsid w:val="00101B73"/>
    <w:rsid w:val="00135B6F"/>
    <w:rsid w:val="00142BF8"/>
    <w:rsid w:val="00160083"/>
    <w:rsid w:val="00181278"/>
    <w:rsid w:val="001A3BF1"/>
    <w:rsid w:val="001C5467"/>
    <w:rsid w:val="001D7708"/>
    <w:rsid w:val="001E5EC5"/>
    <w:rsid w:val="001F7847"/>
    <w:rsid w:val="00282DDE"/>
    <w:rsid w:val="002C4203"/>
    <w:rsid w:val="0031632F"/>
    <w:rsid w:val="00345419"/>
    <w:rsid w:val="003616F9"/>
    <w:rsid w:val="00374C81"/>
    <w:rsid w:val="00380741"/>
    <w:rsid w:val="003940E4"/>
    <w:rsid w:val="003E0491"/>
    <w:rsid w:val="003E69AA"/>
    <w:rsid w:val="003F0621"/>
    <w:rsid w:val="003F3876"/>
    <w:rsid w:val="004012C2"/>
    <w:rsid w:val="00410132"/>
    <w:rsid w:val="00413193"/>
    <w:rsid w:val="00426495"/>
    <w:rsid w:val="00460276"/>
    <w:rsid w:val="00486707"/>
    <w:rsid w:val="0049200C"/>
    <w:rsid w:val="00495DC8"/>
    <w:rsid w:val="004C781F"/>
    <w:rsid w:val="004E0721"/>
    <w:rsid w:val="004E3F6A"/>
    <w:rsid w:val="00505F46"/>
    <w:rsid w:val="00515D4A"/>
    <w:rsid w:val="005318D3"/>
    <w:rsid w:val="0054717C"/>
    <w:rsid w:val="0058557F"/>
    <w:rsid w:val="005970C8"/>
    <w:rsid w:val="005B4580"/>
    <w:rsid w:val="005B4EBB"/>
    <w:rsid w:val="005B7A7C"/>
    <w:rsid w:val="005C65BF"/>
    <w:rsid w:val="00616645"/>
    <w:rsid w:val="00626E14"/>
    <w:rsid w:val="00626F67"/>
    <w:rsid w:val="00700CC1"/>
    <w:rsid w:val="00704239"/>
    <w:rsid w:val="00720623"/>
    <w:rsid w:val="00743EB7"/>
    <w:rsid w:val="00750B52"/>
    <w:rsid w:val="007565B7"/>
    <w:rsid w:val="00761119"/>
    <w:rsid w:val="00762025"/>
    <w:rsid w:val="007C0CD6"/>
    <w:rsid w:val="007D1FF8"/>
    <w:rsid w:val="007E57F1"/>
    <w:rsid w:val="00807025"/>
    <w:rsid w:val="00826072"/>
    <w:rsid w:val="00830174"/>
    <w:rsid w:val="00852DED"/>
    <w:rsid w:val="0087090E"/>
    <w:rsid w:val="00887245"/>
    <w:rsid w:val="008D23B1"/>
    <w:rsid w:val="008D5614"/>
    <w:rsid w:val="0090068F"/>
    <w:rsid w:val="00952037"/>
    <w:rsid w:val="009702E3"/>
    <w:rsid w:val="00973622"/>
    <w:rsid w:val="009F62F1"/>
    <w:rsid w:val="00A019C1"/>
    <w:rsid w:val="00A75C4A"/>
    <w:rsid w:val="00A97A58"/>
    <w:rsid w:val="00B24F8F"/>
    <w:rsid w:val="00B421EE"/>
    <w:rsid w:val="00B80E52"/>
    <w:rsid w:val="00B87896"/>
    <w:rsid w:val="00BA761B"/>
    <w:rsid w:val="00BB5775"/>
    <w:rsid w:val="00BD5BD6"/>
    <w:rsid w:val="00BE57AB"/>
    <w:rsid w:val="00C22EBF"/>
    <w:rsid w:val="00C27A03"/>
    <w:rsid w:val="00C3416E"/>
    <w:rsid w:val="00C85D3F"/>
    <w:rsid w:val="00CF55FC"/>
    <w:rsid w:val="00D03381"/>
    <w:rsid w:val="00D11213"/>
    <w:rsid w:val="00D31F5F"/>
    <w:rsid w:val="00D3461F"/>
    <w:rsid w:val="00D726E4"/>
    <w:rsid w:val="00DA7BAD"/>
    <w:rsid w:val="00DE142A"/>
    <w:rsid w:val="00DF4655"/>
    <w:rsid w:val="00E15EFE"/>
    <w:rsid w:val="00E179E3"/>
    <w:rsid w:val="00E5671D"/>
    <w:rsid w:val="00E71F00"/>
    <w:rsid w:val="00E91637"/>
    <w:rsid w:val="00ED4D58"/>
    <w:rsid w:val="00F270EC"/>
    <w:rsid w:val="00F32D5C"/>
    <w:rsid w:val="00F3571E"/>
    <w:rsid w:val="00F512AB"/>
    <w:rsid w:val="00F737F1"/>
    <w:rsid w:val="00F802AE"/>
    <w:rsid w:val="00FA6AEE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101B73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B7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120" w:line="264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1B73"/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750B52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120" w:line="240" w:lineRule="auto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50B52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626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6E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26E14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E14"/>
    <w:rPr>
      <w:rFonts w:ascii="Arial" w:hAnsi="Arial"/>
      <w:b/>
      <w:bCs/>
      <w:kern w:val="16"/>
      <w:lang w:eastAsia="zh-CN"/>
    </w:rPr>
  </w:style>
  <w:style w:type="character" w:styleId="FollowedHyperlink">
    <w:name w:val="FollowedHyperlink"/>
    <w:basedOn w:val="DefaultParagraphFont"/>
    <w:semiHidden/>
    <w:unhideWhenUsed/>
    <w:rsid w:val="00DE1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hiopia.tenderadmin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hiopia.bidsubmission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49AD8178EA94BBD6DF283113296CA" ma:contentTypeVersion="10" ma:contentTypeDescription="Create a new document." ma:contentTypeScope="" ma:versionID="4e4843379cb135eed14cf85e47976f2c">
  <xsd:schema xmlns:xsd="http://www.w3.org/2001/XMLSchema" xmlns:xs="http://www.w3.org/2001/XMLSchema" xmlns:p="http://schemas.microsoft.com/office/2006/metadata/properties" xmlns:ns3="e088aab1-8f69-4fbb-8a80-0d9313685048" xmlns:ns4="0fbe38eb-2d91-4d79-91d4-9842cad56741" targetNamespace="http://schemas.microsoft.com/office/2006/metadata/properties" ma:root="true" ma:fieldsID="40f6f23228e8ad45b8c145e0afaabed9" ns3:_="" ns4:_="">
    <xsd:import namespace="e088aab1-8f69-4fbb-8a80-0d9313685048"/>
    <xsd:import namespace="0fbe38eb-2d91-4d79-91d4-9842cad56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8aab1-8f69-4fbb-8a80-0d9313685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38eb-2d91-4d79-91d4-9842cad5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52256-91C4-4D7D-930C-700AAD555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8aab1-8f69-4fbb-8a80-0d9313685048"/>
    <ds:schemaRef ds:uri="0fbe38eb-2d91-4d79-91d4-9842cad56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20BAE-7F1D-4143-9CCF-7F604F9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Dereje, Emnet</cp:lastModifiedBy>
  <cp:revision>2</cp:revision>
  <dcterms:created xsi:type="dcterms:W3CDTF">2020-03-31T06:42:00Z</dcterms:created>
  <dcterms:modified xsi:type="dcterms:W3CDTF">2020-03-31T06:42:00Z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0x010100E3F49AD8178EA94BBD6DF283113296CA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